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A9" w:rsidRPr="00AC62C3" w:rsidRDefault="00C613A9" w:rsidP="00C613A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C62C3">
        <w:rPr>
          <w:b/>
          <w:sz w:val="36"/>
          <w:szCs w:val="36"/>
        </w:rPr>
        <w:t>MEMORANDUM</w:t>
      </w:r>
    </w:p>
    <w:p w:rsidR="00EE79E5" w:rsidRDefault="00EE79E5"/>
    <w:p w:rsidR="00C613A9" w:rsidRDefault="00C613A9"/>
    <w:p w:rsidR="00C613A9" w:rsidRPr="00C02ACE" w:rsidRDefault="00C613A9" w:rsidP="00C613A9">
      <w:pPr>
        <w:rPr>
          <w:color w:val="FF0000"/>
          <w:sz w:val="22"/>
          <w:szCs w:val="22"/>
        </w:rPr>
      </w:pPr>
      <w:r w:rsidRPr="00A80F88">
        <w:rPr>
          <w:b/>
        </w:rPr>
        <w:t>DATE:</w:t>
      </w:r>
      <w:r w:rsidRPr="00A80F88">
        <w:rPr>
          <w:b/>
        </w:rPr>
        <w:tab/>
      </w:r>
      <w:r w:rsidR="002E7434" w:rsidRPr="00BD0877">
        <w:t xml:space="preserve">August </w:t>
      </w:r>
      <w:r w:rsidR="006811B2">
        <w:t>17, 2020</w:t>
      </w:r>
    </w:p>
    <w:p w:rsidR="00C613A9" w:rsidRDefault="00C613A9" w:rsidP="00C613A9"/>
    <w:p w:rsidR="00C613A9" w:rsidRPr="00BD0877" w:rsidRDefault="00C613A9" w:rsidP="00C613A9">
      <w:r w:rsidRPr="00A80F88">
        <w:rPr>
          <w:b/>
        </w:rPr>
        <w:t>TO:</w:t>
      </w:r>
      <w:r>
        <w:tab/>
      </w:r>
      <w:r>
        <w:tab/>
      </w:r>
      <w:r w:rsidRPr="00BD0877">
        <w:t>Dr. Tina Maddox, CHP</w:t>
      </w:r>
    </w:p>
    <w:p w:rsidR="00C613A9" w:rsidRPr="00BD0877" w:rsidRDefault="00C613A9" w:rsidP="00C613A9">
      <w:r w:rsidRPr="00BD0877">
        <w:tab/>
      </w:r>
      <w:r w:rsidRPr="00BD0877">
        <w:tab/>
        <w:t>Dr. James Graham, COM</w:t>
      </w:r>
    </w:p>
    <w:p w:rsidR="00C613A9" w:rsidRPr="00BD0877" w:rsidRDefault="00C613A9" w:rsidP="00C613A9">
      <w:r w:rsidRPr="00BD0877">
        <w:tab/>
      </w:r>
      <w:r w:rsidRPr="00BD0877">
        <w:tab/>
        <w:t>Dr. Teresa Whited, CON</w:t>
      </w:r>
    </w:p>
    <w:p w:rsidR="00C613A9" w:rsidRPr="00BD0877" w:rsidRDefault="00C613A9" w:rsidP="00C613A9">
      <w:r w:rsidRPr="00BD0877">
        <w:t xml:space="preserve">                        Dr. </w:t>
      </w:r>
      <w:r w:rsidR="006811B2">
        <w:t>David Caldwell</w:t>
      </w:r>
      <w:r w:rsidRPr="00BD0877">
        <w:t>, COP</w:t>
      </w:r>
      <w:r w:rsidRPr="00BD0877">
        <w:br/>
      </w:r>
      <w:r w:rsidRPr="00BD0877">
        <w:tab/>
      </w:r>
      <w:r w:rsidRPr="00BD0877">
        <w:tab/>
        <w:t>Dr. Amanda Golbeck, COPH</w:t>
      </w:r>
    </w:p>
    <w:p w:rsidR="00C613A9" w:rsidRPr="00C02ACE" w:rsidRDefault="00C613A9" w:rsidP="00C613A9">
      <w:pPr>
        <w:rPr>
          <w:sz w:val="22"/>
          <w:szCs w:val="22"/>
        </w:rPr>
      </w:pPr>
      <w:r w:rsidRPr="00BD0877">
        <w:tab/>
      </w:r>
      <w:r w:rsidRPr="00BD0877">
        <w:tab/>
        <w:t>Dr. Latrina Prince, GS</w:t>
      </w:r>
    </w:p>
    <w:p w:rsidR="001A0334" w:rsidRDefault="001A0334" w:rsidP="00C613A9"/>
    <w:p w:rsidR="001A0334" w:rsidRPr="00BD0877" w:rsidRDefault="001A0334" w:rsidP="00C613A9">
      <w:r w:rsidRPr="001A0334">
        <w:rPr>
          <w:b/>
        </w:rPr>
        <w:t>Cc:</w:t>
      </w:r>
      <w:r>
        <w:t xml:space="preserve">             </w:t>
      </w:r>
      <w:r>
        <w:tab/>
      </w:r>
      <w:r w:rsidRPr="00BD0877">
        <w:t>Dr. Kristen Sterba</w:t>
      </w:r>
    </w:p>
    <w:p w:rsidR="00C613A9" w:rsidRPr="00BD0877" w:rsidRDefault="001A0334">
      <w:pPr>
        <w:rPr>
          <w:b/>
        </w:rPr>
      </w:pPr>
      <w:r w:rsidRPr="00BD0877">
        <w:t xml:space="preserve"> </w:t>
      </w:r>
      <w:r w:rsidRPr="00BD0877">
        <w:tab/>
      </w:r>
      <w:r w:rsidRPr="00BD0877">
        <w:tab/>
        <w:t xml:space="preserve">Dr. </w:t>
      </w:r>
      <w:r w:rsidR="002E7434" w:rsidRPr="00BD0877">
        <w:t>Clinton Everhart</w:t>
      </w:r>
    </w:p>
    <w:p w:rsidR="00C613A9" w:rsidRDefault="00C613A9">
      <w:pPr>
        <w:rPr>
          <w:b/>
        </w:rPr>
      </w:pPr>
    </w:p>
    <w:p w:rsidR="002E7434" w:rsidRPr="00BD0877" w:rsidRDefault="00C613A9">
      <w:r w:rsidRPr="00A80F88">
        <w:rPr>
          <w:b/>
        </w:rPr>
        <w:t>FROM:</w:t>
      </w:r>
      <w:r>
        <w:tab/>
      </w:r>
      <w:r w:rsidR="002E7434" w:rsidRPr="00BD0877">
        <w:t xml:space="preserve">Nadine Ledet, </w:t>
      </w:r>
      <w:r w:rsidRPr="00BD0877">
        <w:t>Registrar</w:t>
      </w:r>
      <w:r w:rsidR="002E7434" w:rsidRPr="00BD0877">
        <w:t xml:space="preserve"> for Catalog and Scheduling</w:t>
      </w:r>
    </w:p>
    <w:p w:rsidR="002E7434" w:rsidRPr="00C02ACE" w:rsidRDefault="002E7434">
      <w:pPr>
        <w:rPr>
          <w:sz w:val="22"/>
          <w:szCs w:val="22"/>
        </w:rPr>
      </w:pPr>
      <w:r w:rsidRPr="00BD0877">
        <w:tab/>
      </w:r>
      <w:r w:rsidRPr="00BD0877">
        <w:tab/>
        <w:t>Office of the University Registrar (OUR)</w:t>
      </w:r>
    </w:p>
    <w:p w:rsidR="00C613A9" w:rsidRDefault="00C613A9" w:rsidP="00C613A9"/>
    <w:p w:rsidR="00C613A9" w:rsidRDefault="00C613A9" w:rsidP="00C613A9">
      <w:pPr>
        <w:pBdr>
          <w:bottom w:val="double" w:sz="6" w:space="1" w:color="auto"/>
        </w:pBdr>
        <w:rPr>
          <w:b/>
        </w:rPr>
      </w:pPr>
      <w:r>
        <w:rPr>
          <w:b/>
        </w:rPr>
        <w:t>S</w:t>
      </w:r>
      <w:r w:rsidR="001661EB">
        <w:rPr>
          <w:b/>
        </w:rPr>
        <w:t>UBJ:</w:t>
      </w:r>
      <w:r w:rsidR="001661EB">
        <w:rPr>
          <w:b/>
        </w:rPr>
        <w:tab/>
      </w:r>
      <w:r w:rsidR="001661EB">
        <w:rPr>
          <w:b/>
        </w:rPr>
        <w:tab/>
      </w:r>
      <w:r w:rsidR="001661EB" w:rsidRPr="00BD0877">
        <w:rPr>
          <w:b/>
        </w:rPr>
        <w:t xml:space="preserve">Scheduling of </w:t>
      </w:r>
      <w:r w:rsidR="004D0E16" w:rsidRPr="00BD0877">
        <w:rPr>
          <w:b/>
        </w:rPr>
        <w:t xml:space="preserve">UAMS </w:t>
      </w:r>
      <w:r w:rsidR="001661EB" w:rsidRPr="00BD0877">
        <w:rPr>
          <w:b/>
        </w:rPr>
        <w:t>Spri</w:t>
      </w:r>
      <w:r w:rsidR="004D0E16" w:rsidRPr="00BD0877">
        <w:rPr>
          <w:b/>
        </w:rPr>
        <w:t>ng 202</w:t>
      </w:r>
      <w:r w:rsidR="006811B2">
        <w:rPr>
          <w:b/>
        </w:rPr>
        <w:t>1</w:t>
      </w:r>
      <w:r w:rsidR="001661EB" w:rsidRPr="00BD0877">
        <w:rPr>
          <w:b/>
        </w:rPr>
        <w:t xml:space="preserve"> </w:t>
      </w:r>
      <w:r w:rsidRPr="00BD0877">
        <w:rPr>
          <w:b/>
        </w:rPr>
        <w:t>Classes</w:t>
      </w:r>
      <w:r w:rsidR="002E7434" w:rsidRPr="00BD0877">
        <w:rPr>
          <w:b/>
        </w:rPr>
        <w:t xml:space="preserve"> in GUS</w:t>
      </w:r>
    </w:p>
    <w:p w:rsidR="00C613A9" w:rsidRDefault="00C613A9"/>
    <w:p w:rsidR="0097358E" w:rsidRPr="00BD0877" w:rsidRDefault="002E7434">
      <w:r w:rsidRPr="00BD0877">
        <w:t>S</w:t>
      </w:r>
      <w:r w:rsidR="008E50FE" w:rsidRPr="00BD0877">
        <w:t xml:space="preserve">cheduling </w:t>
      </w:r>
      <w:r w:rsidRPr="00BD0877">
        <w:t xml:space="preserve">for </w:t>
      </w:r>
      <w:r w:rsidR="008E50FE" w:rsidRPr="00C02ACE">
        <w:rPr>
          <w:b/>
        </w:rPr>
        <w:t>Spring 202</w:t>
      </w:r>
      <w:r w:rsidR="006811B2">
        <w:rPr>
          <w:b/>
        </w:rPr>
        <w:t>1</w:t>
      </w:r>
      <w:r w:rsidR="008E50FE" w:rsidRPr="00BD0877">
        <w:t xml:space="preserve"> </w:t>
      </w:r>
      <w:r w:rsidR="001661EB" w:rsidRPr="00BD0877">
        <w:t>classes</w:t>
      </w:r>
      <w:r w:rsidRPr="00BD0877">
        <w:t xml:space="preserve"> in GUS</w:t>
      </w:r>
      <w:r w:rsidR="001661EB" w:rsidRPr="00BD0877">
        <w:t xml:space="preserve"> </w:t>
      </w:r>
      <w:r w:rsidRPr="00BD0877">
        <w:t xml:space="preserve">has begun! Please forward this memorandum to the appropriate class schedulers within your college. </w:t>
      </w:r>
      <w:r w:rsidR="00826AE8" w:rsidRPr="00BD0877">
        <w:t xml:space="preserve">Colleges should send </w:t>
      </w:r>
      <w:r w:rsidR="0097358E" w:rsidRPr="00BD0877">
        <w:t>list</w:t>
      </w:r>
      <w:r w:rsidR="00826AE8" w:rsidRPr="00BD0877">
        <w:t>s</w:t>
      </w:r>
      <w:r w:rsidR="0097358E" w:rsidRPr="00BD0877">
        <w:t xml:space="preserve"> of classes to </w:t>
      </w:r>
      <w:hyperlink r:id="rId7" w:history="1">
        <w:r w:rsidR="0097358E" w:rsidRPr="00BD0877">
          <w:rPr>
            <w:rStyle w:val="Hyperlink"/>
          </w:rPr>
          <w:t>Registrar@uams.edu</w:t>
        </w:r>
      </w:hyperlink>
      <w:r w:rsidR="0097358E" w:rsidRPr="00BD0877">
        <w:t xml:space="preserve"> for processing</w:t>
      </w:r>
      <w:r w:rsidRPr="00BD0877">
        <w:t xml:space="preserve"> using the attached spreadsheet template according to the following timeline</w:t>
      </w:r>
      <w:r w:rsidR="0097358E" w:rsidRPr="00BD0877">
        <w:t>:</w:t>
      </w:r>
    </w:p>
    <w:p w:rsidR="0097358E" w:rsidRDefault="0097358E"/>
    <w:p w:rsidR="0097358E" w:rsidRPr="00C02ACE" w:rsidRDefault="0097358E">
      <w:pPr>
        <w:rPr>
          <w:b/>
          <w:u w:val="single"/>
        </w:rPr>
      </w:pPr>
      <w:r w:rsidRPr="00C02ACE">
        <w:rPr>
          <w:b/>
          <w:u w:val="single"/>
        </w:rPr>
        <w:t>Spring 202</w:t>
      </w:r>
      <w:r w:rsidR="006811B2">
        <w:rPr>
          <w:b/>
          <w:u w:val="single"/>
        </w:rPr>
        <w:t>1</w:t>
      </w:r>
      <w:r w:rsidRPr="00C02ACE">
        <w:rPr>
          <w:b/>
          <w:u w:val="single"/>
        </w:rPr>
        <w:t xml:space="preserve"> </w:t>
      </w:r>
      <w:r w:rsidR="00515459">
        <w:rPr>
          <w:b/>
          <w:u w:val="single"/>
        </w:rPr>
        <w:t xml:space="preserve">GUS Schedule of Classes </w:t>
      </w:r>
      <w:r w:rsidRPr="00C02ACE">
        <w:rPr>
          <w:b/>
          <w:u w:val="single"/>
        </w:rPr>
        <w:t>Deadlines:</w:t>
      </w:r>
    </w:p>
    <w:p w:rsidR="0097358E" w:rsidRDefault="0097358E">
      <w:pPr>
        <w:rPr>
          <w:u w:val="single"/>
        </w:rPr>
      </w:pPr>
    </w:p>
    <w:p w:rsidR="00515459" w:rsidRPr="00BD0877" w:rsidRDefault="00062E91" w:rsidP="0097358E">
      <w:pPr>
        <w:pStyle w:val="ListParagraph"/>
        <w:numPr>
          <w:ilvl w:val="0"/>
          <w:numId w:val="3"/>
        </w:numPr>
      </w:pPr>
      <w:r w:rsidRPr="00BD0877">
        <w:t xml:space="preserve">All class schedules for </w:t>
      </w:r>
      <w:r w:rsidR="00826AE8" w:rsidRPr="00BD0877">
        <w:t>Spring 202</w:t>
      </w:r>
      <w:r w:rsidR="006811B2">
        <w:t>1</w:t>
      </w:r>
      <w:r w:rsidR="00826AE8" w:rsidRPr="00BD0877">
        <w:t xml:space="preserve"> </w:t>
      </w:r>
      <w:r w:rsidR="0097358E" w:rsidRPr="00BD0877">
        <w:t xml:space="preserve">are due to the OUR by </w:t>
      </w:r>
      <w:r w:rsidR="00FE427E" w:rsidRPr="00C02ACE">
        <w:rPr>
          <w:b/>
        </w:rPr>
        <w:t>September 1</w:t>
      </w:r>
      <w:r w:rsidR="006811B2">
        <w:rPr>
          <w:b/>
        </w:rPr>
        <w:t>5</w:t>
      </w:r>
      <w:r w:rsidR="00FE427E" w:rsidRPr="00C02ACE">
        <w:rPr>
          <w:b/>
        </w:rPr>
        <w:t>, 20</w:t>
      </w:r>
      <w:r w:rsidR="006811B2">
        <w:rPr>
          <w:b/>
        </w:rPr>
        <w:t>20</w:t>
      </w:r>
      <w:r w:rsidR="0097358E" w:rsidRPr="00BD0877">
        <w:t>.</w:t>
      </w:r>
    </w:p>
    <w:p w:rsidR="009020EF" w:rsidRPr="00BD0877" w:rsidRDefault="009020EF"/>
    <w:p w:rsidR="00515459" w:rsidRPr="00BD0877" w:rsidRDefault="00CB3573" w:rsidP="0097358E">
      <w:pPr>
        <w:pStyle w:val="ListParagraph"/>
        <w:numPr>
          <w:ilvl w:val="0"/>
          <w:numId w:val="3"/>
        </w:numPr>
      </w:pPr>
      <w:r w:rsidRPr="00BD0877">
        <w:t>C</w:t>
      </w:r>
      <w:r w:rsidR="00DD555D" w:rsidRPr="00BD0877">
        <w:t xml:space="preserve">lass schedule </w:t>
      </w:r>
      <w:r w:rsidR="00DD555D" w:rsidRPr="00C02ACE">
        <w:rPr>
          <w:i/>
        </w:rPr>
        <w:t>changes</w:t>
      </w:r>
      <w:r w:rsidR="00515459" w:rsidRPr="00BD0877">
        <w:rPr>
          <w:i/>
        </w:rPr>
        <w:t xml:space="preserve"> </w:t>
      </w:r>
      <w:r w:rsidR="00515459" w:rsidRPr="00BD0877">
        <w:t xml:space="preserve">and </w:t>
      </w:r>
      <w:r w:rsidR="00515459" w:rsidRPr="00BD0877">
        <w:rPr>
          <w:i/>
        </w:rPr>
        <w:t>late requests</w:t>
      </w:r>
      <w:r w:rsidR="00DD555D" w:rsidRPr="00BD0877">
        <w:t xml:space="preserve"> will be processed</w:t>
      </w:r>
      <w:r w:rsidR="002E7434" w:rsidRPr="00BD0877">
        <w:t xml:space="preserve"> </w:t>
      </w:r>
      <w:r w:rsidR="00515459" w:rsidRPr="00BD0877">
        <w:t xml:space="preserve">beginning </w:t>
      </w:r>
      <w:r w:rsidR="00062E91" w:rsidRPr="00C02ACE">
        <w:rPr>
          <w:b/>
        </w:rPr>
        <w:t>Oc</w:t>
      </w:r>
      <w:r w:rsidR="008E50FE" w:rsidRPr="00C02ACE">
        <w:rPr>
          <w:b/>
        </w:rPr>
        <w:t xml:space="preserve">tober </w:t>
      </w:r>
      <w:r w:rsidR="006811B2">
        <w:rPr>
          <w:b/>
        </w:rPr>
        <w:t>15</w:t>
      </w:r>
      <w:r w:rsidR="00515459" w:rsidRPr="00BD0877">
        <w:t>.</w:t>
      </w:r>
    </w:p>
    <w:p w:rsidR="00515459" w:rsidRPr="00BD0877" w:rsidRDefault="00515459" w:rsidP="00C02ACE">
      <w:pPr>
        <w:pStyle w:val="ListParagraph"/>
      </w:pPr>
    </w:p>
    <w:p w:rsidR="00515459" w:rsidRPr="00BD0877" w:rsidRDefault="002E7434">
      <w:pPr>
        <w:pStyle w:val="ListParagraph"/>
        <w:numPr>
          <w:ilvl w:val="0"/>
          <w:numId w:val="3"/>
        </w:numPr>
      </w:pPr>
      <w:r w:rsidRPr="00BD0877">
        <w:t>To make a change to a previously scheduled class for Spring 202</w:t>
      </w:r>
      <w:r w:rsidR="006811B2">
        <w:t>1</w:t>
      </w:r>
      <w:r w:rsidRPr="00BD0877">
        <w:t xml:space="preserve">, please submit </w:t>
      </w:r>
      <w:r w:rsidR="008E50FE" w:rsidRPr="00BD0877">
        <w:t xml:space="preserve">the </w:t>
      </w:r>
      <w:r w:rsidR="008E50FE" w:rsidRPr="00C02ACE">
        <w:rPr>
          <w:i/>
        </w:rPr>
        <w:t>OUR Class Schedule Change Form</w:t>
      </w:r>
      <w:r w:rsidR="00CB3573" w:rsidRPr="00BD0877">
        <w:rPr>
          <w:i/>
        </w:rPr>
        <w:t xml:space="preserve">, </w:t>
      </w:r>
      <w:r w:rsidR="006811B2">
        <w:t xml:space="preserve">accessible at </w:t>
      </w:r>
      <w:hyperlink r:id="rId8" w:history="1">
        <w:r w:rsidR="00F90820" w:rsidRPr="00F90820">
          <w:rPr>
            <w:color w:val="0000FF"/>
            <w:u w:val="single"/>
          </w:rPr>
          <w:t>https://registrar.uams.edu/for-faculty-staff/</w:t>
        </w:r>
      </w:hyperlink>
      <w:r w:rsidR="00F90820">
        <w:t xml:space="preserve"> .</w:t>
      </w:r>
    </w:p>
    <w:p w:rsidR="00515459" w:rsidRPr="00BD0877" w:rsidRDefault="00515459" w:rsidP="00C02ACE">
      <w:pPr>
        <w:pStyle w:val="ListParagraph"/>
      </w:pPr>
    </w:p>
    <w:p w:rsidR="00515459" w:rsidRPr="00BD0877" w:rsidRDefault="002E7434" w:rsidP="00C02ACE">
      <w:pPr>
        <w:pStyle w:val="ListParagraph"/>
        <w:numPr>
          <w:ilvl w:val="0"/>
          <w:numId w:val="3"/>
        </w:numPr>
      </w:pPr>
      <w:r w:rsidRPr="00BD0877">
        <w:t>New requests or change r</w:t>
      </w:r>
      <w:r w:rsidR="00062E91" w:rsidRPr="00BD0877">
        <w:t xml:space="preserve">equests received after October </w:t>
      </w:r>
      <w:r w:rsidR="00CB3573" w:rsidRPr="00BD0877">
        <w:t xml:space="preserve">15 may not </w:t>
      </w:r>
      <w:r w:rsidR="00ED1AED" w:rsidRPr="00BD0877">
        <w:t xml:space="preserve">be processed </w:t>
      </w:r>
      <w:r w:rsidRPr="00BD0877">
        <w:t xml:space="preserve">in time </w:t>
      </w:r>
      <w:r w:rsidR="00ED1AED" w:rsidRPr="00BD0877">
        <w:t xml:space="preserve">for the </w:t>
      </w:r>
      <w:r w:rsidRPr="00BD0877">
        <w:t>e</w:t>
      </w:r>
      <w:r w:rsidR="00ED1AED" w:rsidRPr="00BD0877">
        <w:t xml:space="preserve">arly </w:t>
      </w:r>
      <w:r w:rsidRPr="00BD0877">
        <w:t>r</w:t>
      </w:r>
      <w:r w:rsidR="00ED1AED" w:rsidRPr="00BD0877">
        <w:t>egistration period.</w:t>
      </w:r>
      <w:r w:rsidR="00CB3573" w:rsidRPr="00BD0877">
        <w:t xml:space="preserve"> New requests or change requests received after December 15 may not be processed.</w:t>
      </w:r>
    </w:p>
    <w:p w:rsidR="00515459" w:rsidRPr="00C02ACE" w:rsidRDefault="00515459" w:rsidP="00C02ACE">
      <w:pPr>
        <w:pStyle w:val="ListParagraph"/>
        <w:rPr>
          <w:color w:val="000000"/>
        </w:rPr>
      </w:pPr>
    </w:p>
    <w:p w:rsidR="00515459" w:rsidRPr="00C02ACE" w:rsidRDefault="00515459" w:rsidP="00C02ACE">
      <w:pPr>
        <w:pStyle w:val="ListParagraph"/>
        <w:numPr>
          <w:ilvl w:val="0"/>
          <w:numId w:val="3"/>
        </w:numPr>
      </w:pPr>
      <w:r w:rsidRPr="00C02ACE">
        <w:rPr>
          <w:color w:val="000000"/>
        </w:rPr>
        <w:t xml:space="preserve">In compliance with </w:t>
      </w:r>
      <w:hyperlink r:id="rId9" w:history="1">
        <w:r w:rsidRPr="00C02ACE">
          <w:rPr>
            <w:rStyle w:val="Hyperlink"/>
            <w:color w:val="0000FF"/>
          </w:rPr>
          <w:t>Arkansas Act 175 of 2007</w:t>
        </w:r>
      </w:hyperlink>
      <w:r w:rsidRPr="00C02ACE">
        <w:rPr>
          <w:color w:val="000000"/>
        </w:rPr>
        <w:t xml:space="preserve">, course adoptions for undergraduate classes are due by </w:t>
      </w:r>
      <w:r w:rsidRPr="00C02ACE">
        <w:rPr>
          <w:bCs/>
          <w:color w:val="000000"/>
        </w:rPr>
        <w:t>November 1, 20</w:t>
      </w:r>
      <w:r w:rsidR="00F90820">
        <w:rPr>
          <w:bCs/>
          <w:color w:val="000000"/>
        </w:rPr>
        <w:t>20</w:t>
      </w:r>
      <w:r w:rsidRPr="00C02ACE">
        <w:rPr>
          <w:bCs/>
          <w:color w:val="000000"/>
        </w:rPr>
        <w:t xml:space="preserve"> for the Spring 202</w:t>
      </w:r>
      <w:r w:rsidR="00B84487">
        <w:rPr>
          <w:bCs/>
          <w:color w:val="000000"/>
        </w:rPr>
        <w:t>1</w:t>
      </w:r>
      <w:r w:rsidRPr="00C02ACE">
        <w:rPr>
          <w:bCs/>
          <w:color w:val="000000"/>
        </w:rPr>
        <w:t xml:space="preserve"> semester. Because Akademos receives course schedule information from GUS, all undergraduate classes must be scheduled prior to that date. Class schedule requests received after </w:t>
      </w:r>
      <w:r w:rsidRPr="00C02ACE">
        <w:rPr>
          <w:b/>
          <w:bCs/>
          <w:color w:val="000000"/>
        </w:rPr>
        <w:t>September</w:t>
      </w:r>
      <w:r w:rsidR="00B84487">
        <w:rPr>
          <w:b/>
          <w:bCs/>
          <w:color w:val="000000"/>
        </w:rPr>
        <w:t xml:space="preserve"> 15 </w:t>
      </w:r>
      <w:r w:rsidRPr="00C02ACE">
        <w:rPr>
          <w:bCs/>
          <w:color w:val="000000"/>
        </w:rPr>
        <w:t>are considered late, and may not be processed in time to accommodate the course adoption guidelines.</w:t>
      </w:r>
    </w:p>
    <w:p w:rsidR="00BD0877" w:rsidRPr="00C02ACE" w:rsidRDefault="00BD0877" w:rsidP="00C02ACE"/>
    <w:p w:rsidR="001661EB" w:rsidRPr="00C02ACE" w:rsidRDefault="00515459">
      <w:pPr>
        <w:rPr>
          <w:b/>
          <w:u w:val="single"/>
        </w:rPr>
      </w:pPr>
      <w:r>
        <w:rPr>
          <w:b/>
          <w:u w:val="single"/>
        </w:rPr>
        <w:lastRenderedPageBreak/>
        <w:t>General C</w:t>
      </w:r>
      <w:r w:rsidR="00826AE8" w:rsidRPr="00C02ACE">
        <w:rPr>
          <w:b/>
          <w:u w:val="single"/>
        </w:rPr>
        <w:t xml:space="preserve">lass </w:t>
      </w:r>
      <w:r>
        <w:rPr>
          <w:b/>
          <w:u w:val="single"/>
        </w:rPr>
        <w:t>S</w:t>
      </w:r>
      <w:r w:rsidR="00826AE8" w:rsidRPr="00C02ACE">
        <w:rPr>
          <w:b/>
          <w:u w:val="single"/>
        </w:rPr>
        <w:t xml:space="preserve">cheduling </w:t>
      </w:r>
      <w:r>
        <w:rPr>
          <w:b/>
          <w:u w:val="single"/>
        </w:rPr>
        <w:t>Information</w:t>
      </w:r>
      <w:r w:rsidR="0097358E" w:rsidRPr="00C02ACE">
        <w:rPr>
          <w:b/>
          <w:u w:val="single"/>
        </w:rPr>
        <w:t>:</w:t>
      </w:r>
    </w:p>
    <w:p w:rsidR="0097358E" w:rsidRDefault="0097358E"/>
    <w:p w:rsidR="0097358E" w:rsidRPr="00BD0877" w:rsidRDefault="00DF7A37" w:rsidP="0097358E">
      <w:pPr>
        <w:numPr>
          <w:ilvl w:val="0"/>
          <w:numId w:val="1"/>
        </w:numPr>
        <w:spacing w:after="160" w:line="276" w:lineRule="auto"/>
        <w:contextualSpacing/>
        <w:rPr>
          <w:rFonts w:eastAsiaTheme="minorHAnsi"/>
        </w:rPr>
      </w:pPr>
      <w:r w:rsidRPr="00C02ACE">
        <w:rPr>
          <w:rFonts w:eastAsiaTheme="minorHAnsi"/>
          <w:u w:val="single"/>
        </w:rPr>
        <w:t xml:space="preserve">Data elements </w:t>
      </w:r>
      <w:r w:rsidR="0097358E" w:rsidRPr="00C02ACE">
        <w:rPr>
          <w:rFonts w:eastAsiaTheme="minorHAnsi"/>
          <w:u w:val="single"/>
        </w:rPr>
        <w:t>necessary to schedule a class</w:t>
      </w:r>
      <w:r w:rsidR="0097358E" w:rsidRPr="00BD0877">
        <w:rPr>
          <w:rFonts w:eastAsiaTheme="minorHAnsi"/>
        </w:rPr>
        <w:t>: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>Session</w:t>
      </w:r>
      <w:r w:rsidR="00CB3573" w:rsidRPr="00C02ACE">
        <w:rPr>
          <w:rFonts w:eastAsiaTheme="minorHAnsi"/>
          <w:sz w:val="22"/>
          <w:szCs w:val="22"/>
        </w:rPr>
        <w:t xml:space="preserve"> (If known, e.g., </w:t>
      </w:r>
      <w:r w:rsidRPr="00C02ACE">
        <w:rPr>
          <w:rFonts w:eastAsiaTheme="minorHAnsi"/>
          <w:sz w:val="22"/>
          <w:szCs w:val="22"/>
        </w:rPr>
        <w:t>Regular, M1, M2, BSN Rotation 1, 2, etc.)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>Start/</w:t>
      </w:r>
      <w:r w:rsidR="00BD0877" w:rsidRPr="00C02ACE">
        <w:rPr>
          <w:rFonts w:eastAsiaTheme="minorHAnsi"/>
          <w:sz w:val="22"/>
          <w:szCs w:val="22"/>
        </w:rPr>
        <w:t>E</w:t>
      </w:r>
      <w:r w:rsidRPr="00C02ACE">
        <w:rPr>
          <w:rFonts w:eastAsiaTheme="minorHAnsi"/>
          <w:sz w:val="22"/>
          <w:szCs w:val="22"/>
        </w:rPr>
        <w:t xml:space="preserve">nd </w:t>
      </w:r>
      <w:r w:rsidR="00BD0877" w:rsidRPr="00C02ACE">
        <w:rPr>
          <w:rFonts w:eastAsiaTheme="minorHAnsi"/>
          <w:sz w:val="22"/>
          <w:szCs w:val="22"/>
        </w:rPr>
        <w:t>D</w:t>
      </w:r>
      <w:r w:rsidRPr="00C02ACE">
        <w:rPr>
          <w:rFonts w:eastAsiaTheme="minorHAnsi"/>
          <w:sz w:val="22"/>
          <w:szCs w:val="22"/>
        </w:rPr>
        <w:t>ate</w:t>
      </w:r>
      <w:r w:rsidR="00CB3573" w:rsidRPr="00C02ACE">
        <w:rPr>
          <w:rFonts w:eastAsiaTheme="minorHAnsi"/>
          <w:sz w:val="22"/>
          <w:szCs w:val="22"/>
        </w:rPr>
        <w:t xml:space="preserve"> (exact dates are required)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 xml:space="preserve">Number of </w:t>
      </w:r>
      <w:r w:rsidR="00BD0877" w:rsidRPr="00C02ACE">
        <w:rPr>
          <w:rFonts w:eastAsiaTheme="minorHAnsi"/>
          <w:sz w:val="22"/>
          <w:szCs w:val="22"/>
        </w:rPr>
        <w:t>S</w:t>
      </w:r>
      <w:r w:rsidRPr="00C02ACE">
        <w:rPr>
          <w:rFonts w:eastAsiaTheme="minorHAnsi"/>
          <w:sz w:val="22"/>
          <w:szCs w:val="22"/>
        </w:rPr>
        <w:t>ections</w:t>
      </w:r>
      <w:r w:rsidR="004D0E16" w:rsidRPr="00C02ACE">
        <w:rPr>
          <w:rFonts w:eastAsiaTheme="minorHAnsi"/>
          <w:sz w:val="22"/>
          <w:szCs w:val="22"/>
        </w:rPr>
        <w:t xml:space="preserve"> </w:t>
      </w:r>
      <w:r w:rsidR="00BD0877">
        <w:rPr>
          <w:rFonts w:eastAsiaTheme="minorHAnsi"/>
          <w:sz w:val="22"/>
          <w:szCs w:val="22"/>
        </w:rPr>
        <w:t>R</w:t>
      </w:r>
      <w:r w:rsidR="004D0E16" w:rsidRPr="00C02ACE">
        <w:rPr>
          <w:rFonts w:eastAsiaTheme="minorHAnsi"/>
          <w:sz w:val="22"/>
          <w:szCs w:val="22"/>
        </w:rPr>
        <w:t>equested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>Campus/Location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>Mode (Face-to-face, online-include percentage</w:t>
      </w:r>
      <w:r w:rsidR="00CB3573" w:rsidRPr="00C02ACE">
        <w:rPr>
          <w:rFonts w:eastAsiaTheme="minorHAnsi"/>
          <w:sz w:val="22"/>
          <w:szCs w:val="22"/>
        </w:rPr>
        <w:t>—see below for categories</w:t>
      </w:r>
      <w:r w:rsidRPr="00C02ACE">
        <w:rPr>
          <w:rFonts w:eastAsiaTheme="minorHAnsi"/>
          <w:sz w:val="22"/>
          <w:szCs w:val="22"/>
        </w:rPr>
        <w:t>)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>Instructors (Primary, secondary)</w:t>
      </w:r>
      <w:r w:rsidR="00F90820">
        <w:rPr>
          <w:rFonts w:eastAsiaTheme="minorHAnsi"/>
          <w:sz w:val="22"/>
          <w:szCs w:val="22"/>
        </w:rPr>
        <w:t>—please include SAP #’s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>Staff, TA’s</w:t>
      </w:r>
      <w:r w:rsidR="00F90820">
        <w:rPr>
          <w:rFonts w:eastAsiaTheme="minorHAnsi"/>
          <w:sz w:val="22"/>
          <w:szCs w:val="22"/>
        </w:rPr>
        <w:t>—please include SAP #’s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 xml:space="preserve">Designate </w:t>
      </w:r>
      <w:r w:rsidR="00BD0877">
        <w:rPr>
          <w:rFonts w:eastAsiaTheme="minorHAnsi"/>
          <w:sz w:val="22"/>
          <w:szCs w:val="22"/>
        </w:rPr>
        <w:t>F</w:t>
      </w:r>
      <w:r w:rsidRPr="00C02ACE">
        <w:rPr>
          <w:rFonts w:eastAsiaTheme="minorHAnsi"/>
          <w:sz w:val="22"/>
          <w:szCs w:val="22"/>
        </w:rPr>
        <w:t>aculty/</w:t>
      </w:r>
      <w:r w:rsidR="00BD0877">
        <w:rPr>
          <w:rFonts w:eastAsiaTheme="minorHAnsi"/>
          <w:sz w:val="22"/>
          <w:szCs w:val="22"/>
        </w:rPr>
        <w:t>S</w:t>
      </w:r>
      <w:r w:rsidRPr="00C02ACE">
        <w:rPr>
          <w:rFonts w:eastAsiaTheme="minorHAnsi"/>
          <w:sz w:val="22"/>
          <w:szCs w:val="22"/>
        </w:rPr>
        <w:t xml:space="preserve">taff </w:t>
      </w:r>
      <w:r w:rsidR="00BD0877">
        <w:rPr>
          <w:rFonts w:eastAsiaTheme="minorHAnsi"/>
          <w:sz w:val="22"/>
          <w:szCs w:val="22"/>
        </w:rPr>
        <w:t>M</w:t>
      </w:r>
      <w:r w:rsidRPr="00C02ACE">
        <w:rPr>
          <w:rFonts w:eastAsiaTheme="minorHAnsi"/>
          <w:sz w:val="22"/>
          <w:szCs w:val="22"/>
        </w:rPr>
        <w:t xml:space="preserve">ember for </w:t>
      </w:r>
      <w:r w:rsidR="00BD0877">
        <w:rPr>
          <w:rFonts w:eastAsiaTheme="minorHAnsi"/>
          <w:sz w:val="22"/>
          <w:szCs w:val="22"/>
        </w:rPr>
        <w:t>B</w:t>
      </w:r>
      <w:r w:rsidRPr="00C02ACE">
        <w:rPr>
          <w:rFonts w:eastAsiaTheme="minorHAnsi"/>
          <w:sz w:val="22"/>
          <w:szCs w:val="22"/>
        </w:rPr>
        <w:t xml:space="preserve">ookstore </w:t>
      </w:r>
      <w:r w:rsidR="00BD0877">
        <w:rPr>
          <w:rFonts w:eastAsiaTheme="minorHAnsi"/>
          <w:sz w:val="22"/>
          <w:szCs w:val="22"/>
        </w:rPr>
        <w:t>A</w:t>
      </w:r>
      <w:r w:rsidRPr="00C02ACE">
        <w:rPr>
          <w:rFonts w:eastAsiaTheme="minorHAnsi"/>
          <w:sz w:val="22"/>
          <w:szCs w:val="22"/>
        </w:rPr>
        <w:t>ccess</w:t>
      </w:r>
    </w:p>
    <w:p w:rsidR="0097358E" w:rsidRPr="00C02ACE" w:rsidRDefault="0097358E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>Designate Graders/Approvers</w:t>
      </w:r>
    </w:p>
    <w:p w:rsidR="0097358E" w:rsidRPr="00C02ACE" w:rsidRDefault="00CB3573" w:rsidP="0097358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</w:rPr>
      </w:pPr>
      <w:r w:rsidRPr="00C02ACE">
        <w:rPr>
          <w:rFonts w:eastAsiaTheme="minorHAnsi"/>
          <w:sz w:val="22"/>
          <w:szCs w:val="22"/>
        </w:rPr>
        <w:t xml:space="preserve">Maximum </w:t>
      </w:r>
      <w:r w:rsidR="00BD0877">
        <w:rPr>
          <w:rFonts w:eastAsiaTheme="minorHAnsi"/>
          <w:sz w:val="22"/>
          <w:szCs w:val="22"/>
        </w:rPr>
        <w:t>N</w:t>
      </w:r>
      <w:r w:rsidRPr="00C02ACE">
        <w:rPr>
          <w:rFonts w:eastAsiaTheme="minorHAnsi"/>
          <w:sz w:val="22"/>
          <w:szCs w:val="22"/>
        </w:rPr>
        <w:t xml:space="preserve">umber of </w:t>
      </w:r>
      <w:r w:rsidR="00BD0877">
        <w:rPr>
          <w:rFonts w:eastAsiaTheme="minorHAnsi"/>
          <w:sz w:val="22"/>
          <w:szCs w:val="22"/>
        </w:rPr>
        <w:t>S</w:t>
      </w:r>
      <w:r w:rsidRPr="00C02ACE">
        <w:rPr>
          <w:rFonts w:eastAsiaTheme="minorHAnsi"/>
          <w:sz w:val="22"/>
          <w:szCs w:val="22"/>
        </w:rPr>
        <w:t xml:space="preserve">tudent </w:t>
      </w:r>
      <w:r w:rsidR="00BD0877">
        <w:rPr>
          <w:rFonts w:eastAsiaTheme="minorHAnsi"/>
          <w:sz w:val="22"/>
          <w:szCs w:val="22"/>
        </w:rPr>
        <w:t>E</w:t>
      </w:r>
      <w:r w:rsidRPr="00C02ACE">
        <w:rPr>
          <w:rFonts w:eastAsiaTheme="minorHAnsi"/>
          <w:sz w:val="22"/>
          <w:szCs w:val="22"/>
        </w:rPr>
        <w:t xml:space="preserve">nrollments </w:t>
      </w:r>
      <w:r w:rsidR="00BD0877">
        <w:rPr>
          <w:rFonts w:eastAsiaTheme="minorHAnsi"/>
          <w:sz w:val="22"/>
          <w:szCs w:val="22"/>
        </w:rPr>
        <w:t>A</w:t>
      </w:r>
      <w:r w:rsidRPr="00C02ACE">
        <w:rPr>
          <w:rFonts w:eastAsiaTheme="minorHAnsi"/>
          <w:sz w:val="22"/>
          <w:szCs w:val="22"/>
        </w:rPr>
        <w:t>llowed</w:t>
      </w:r>
    </w:p>
    <w:p w:rsidR="00DF7A37" w:rsidRPr="00C02ACE" w:rsidRDefault="00DF7A37" w:rsidP="00DF7A37">
      <w:pPr>
        <w:spacing w:line="276" w:lineRule="auto"/>
        <w:ind w:left="1200"/>
        <w:rPr>
          <w:b/>
          <w:sz w:val="22"/>
          <w:szCs w:val="22"/>
        </w:rPr>
      </w:pPr>
    </w:p>
    <w:p w:rsidR="00DF7A37" w:rsidRPr="00C02ACE" w:rsidRDefault="00DF7A37" w:rsidP="00DF7A37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C02ACE">
        <w:rPr>
          <w:u w:val="single"/>
        </w:rPr>
        <w:t>Mode of Instruction Designations</w:t>
      </w:r>
    </w:p>
    <w:p w:rsidR="00DF7A37" w:rsidRPr="00C02ACE" w:rsidRDefault="00DF7A37" w:rsidP="00DF7A37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02ACE">
        <w:rPr>
          <w:b/>
          <w:sz w:val="22"/>
          <w:szCs w:val="22"/>
        </w:rPr>
        <w:t>D1</w:t>
      </w:r>
      <w:r w:rsidRPr="00C02ACE">
        <w:rPr>
          <w:sz w:val="22"/>
          <w:szCs w:val="22"/>
        </w:rPr>
        <w:t>-Distance--51-74% via distance</w:t>
      </w:r>
    </w:p>
    <w:p w:rsidR="00DF7A37" w:rsidRPr="00C02ACE" w:rsidRDefault="00DF7A37" w:rsidP="00DF7A37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02ACE">
        <w:rPr>
          <w:b/>
          <w:sz w:val="22"/>
          <w:szCs w:val="22"/>
        </w:rPr>
        <w:t>D2</w:t>
      </w:r>
      <w:r w:rsidRPr="00C02ACE">
        <w:rPr>
          <w:sz w:val="22"/>
          <w:szCs w:val="22"/>
        </w:rPr>
        <w:t>-Distance--75-99% via distance</w:t>
      </w:r>
    </w:p>
    <w:p w:rsidR="00DF7A37" w:rsidRPr="00C02ACE" w:rsidRDefault="00DF7A37" w:rsidP="00DF7A37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02ACE">
        <w:rPr>
          <w:b/>
          <w:sz w:val="22"/>
          <w:szCs w:val="22"/>
        </w:rPr>
        <w:t>D3</w:t>
      </w:r>
      <w:r w:rsidRPr="00C02ACE">
        <w:rPr>
          <w:sz w:val="22"/>
          <w:szCs w:val="22"/>
        </w:rPr>
        <w:t>-Distance--100% distance</w:t>
      </w:r>
    </w:p>
    <w:p w:rsidR="00DF7A37" w:rsidRPr="00C02ACE" w:rsidRDefault="00DF7A37" w:rsidP="00DF7A37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02ACE">
        <w:rPr>
          <w:b/>
          <w:sz w:val="22"/>
          <w:szCs w:val="22"/>
        </w:rPr>
        <w:t>P</w:t>
      </w:r>
      <w:r w:rsidRPr="00C02ACE">
        <w:rPr>
          <w:sz w:val="22"/>
          <w:szCs w:val="22"/>
        </w:rPr>
        <w:t>-Face-to-face</w:t>
      </w:r>
    </w:p>
    <w:p w:rsidR="00DF7A37" w:rsidRPr="00C02ACE" w:rsidRDefault="00DF7A37" w:rsidP="00DF7A37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02ACE">
        <w:rPr>
          <w:b/>
          <w:sz w:val="22"/>
          <w:szCs w:val="22"/>
        </w:rPr>
        <w:t>W5</w:t>
      </w:r>
      <w:r w:rsidRPr="00C02ACE">
        <w:rPr>
          <w:sz w:val="22"/>
          <w:szCs w:val="22"/>
        </w:rPr>
        <w:t>-Online--51-74% some face-to-face</w:t>
      </w:r>
    </w:p>
    <w:p w:rsidR="00DF7A37" w:rsidRPr="00C02ACE" w:rsidRDefault="00DF7A37" w:rsidP="00DF7A37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02ACE">
        <w:rPr>
          <w:b/>
          <w:sz w:val="22"/>
          <w:szCs w:val="22"/>
        </w:rPr>
        <w:t>W7</w:t>
      </w:r>
      <w:r w:rsidRPr="00C02ACE">
        <w:rPr>
          <w:sz w:val="22"/>
          <w:szCs w:val="22"/>
        </w:rPr>
        <w:t>-Online--75-99% some face-to-face</w:t>
      </w:r>
    </w:p>
    <w:p w:rsidR="00DF7A37" w:rsidRPr="00C02ACE" w:rsidRDefault="00DF7A37" w:rsidP="00DF7A37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02ACE">
        <w:rPr>
          <w:b/>
          <w:sz w:val="22"/>
          <w:szCs w:val="22"/>
        </w:rPr>
        <w:t>WX</w:t>
      </w:r>
      <w:r w:rsidRPr="00C02ACE">
        <w:rPr>
          <w:sz w:val="22"/>
          <w:szCs w:val="22"/>
        </w:rPr>
        <w:t>-Online--100% no face-to-face</w:t>
      </w:r>
    </w:p>
    <w:p w:rsidR="00DF7A37" w:rsidRPr="00C02ACE" w:rsidRDefault="00DF7A37" w:rsidP="00DF7A37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A323A4" w:rsidRPr="00C02ACE" w:rsidRDefault="00DF7A37" w:rsidP="00D812E0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u w:val="single"/>
        </w:rPr>
      </w:pPr>
      <w:r w:rsidRPr="00C02ACE">
        <w:rPr>
          <w:rFonts w:eastAsiaTheme="minorHAnsi"/>
          <w:u w:val="single"/>
        </w:rPr>
        <w:t>GUS and Blackboard Roles</w:t>
      </w:r>
      <w:r w:rsidR="00A323A4" w:rsidRPr="00C02ACE">
        <w:rPr>
          <w:u w:val="single"/>
        </w:rPr>
        <w:t xml:space="preserve">          </w:t>
      </w:r>
    </w:p>
    <w:tbl>
      <w:tblPr>
        <w:tblStyle w:val="TableGrid"/>
        <w:tblW w:w="0" w:type="auto"/>
        <w:tblInd w:w="-19" w:type="dxa"/>
        <w:tblLayout w:type="fixed"/>
        <w:tblCellMar>
          <w:top w:w="37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2446"/>
        <w:gridCol w:w="4907"/>
      </w:tblGrid>
      <w:tr w:rsidR="00A323A4" w:rsidRPr="00A323A4" w:rsidTr="00C02ACE">
        <w:trPr>
          <w:trHeight w:val="462"/>
        </w:trPr>
        <w:tc>
          <w:tcPr>
            <w:tcW w:w="2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A323A4" w:rsidRPr="00C02ACE" w:rsidRDefault="00A323A4" w:rsidP="00A323A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2ACE">
              <w:rPr>
                <w:rFonts w:eastAsia="Calibri"/>
                <w:b/>
                <w:color w:val="000000"/>
                <w:sz w:val="18"/>
                <w:szCs w:val="18"/>
              </w:rPr>
              <w:t>GUS Role</w:t>
            </w:r>
          </w:p>
        </w:tc>
        <w:tc>
          <w:tcPr>
            <w:tcW w:w="24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A323A4" w:rsidRPr="00C02ACE" w:rsidRDefault="00A323A4" w:rsidP="00A323A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2ACE">
              <w:rPr>
                <w:rFonts w:eastAsia="Calibri"/>
                <w:b/>
                <w:color w:val="000000"/>
                <w:sz w:val="18"/>
                <w:szCs w:val="18"/>
              </w:rPr>
              <w:t>BlackBoard Role</w:t>
            </w:r>
          </w:p>
        </w:tc>
        <w:tc>
          <w:tcPr>
            <w:tcW w:w="4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A323A4" w:rsidRPr="00C02ACE" w:rsidRDefault="00A323A4" w:rsidP="00A323A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02ACE">
              <w:rPr>
                <w:rFonts w:eastAsia="Calibri"/>
                <w:b/>
                <w:color w:val="000000"/>
                <w:sz w:val="18"/>
                <w:szCs w:val="18"/>
              </w:rPr>
              <w:t>Description</w:t>
            </w:r>
          </w:p>
        </w:tc>
      </w:tr>
      <w:tr w:rsidR="00A323A4" w:rsidRPr="00A323A4" w:rsidTr="00C02ACE">
        <w:trPr>
          <w:trHeight w:val="462"/>
        </w:trPr>
        <w:tc>
          <w:tcPr>
            <w:tcW w:w="2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b/>
                <w:color w:val="000000"/>
                <w:sz w:val="20"/>
                <w:szCs w:val="20"/>
              </w:rPr>
              <w:t>Primary Instructor</w:t>
            </w:r>
          </w:p>
        </w:tc>
        <w:tc>
          <w:tcPr>
            <w:tcW w:w="24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4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Has the most permissions in the course. Can be evaluated by EAC</w:t>
            </w:r>
          </w:p>
        </w:tc>
      </w:tr>
      <w:tr w:rsidR="00A323A4" w:rsidRPr="00A323A4" w:rsidTr="00C02ACE">
        <w:trPr>
          <w:trHeight w:val="462"/>
        </w:trPr>
        <w:tc>
          <w:tcPr>
            <w:tcW w:w="2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b/>
                <w:color w:val="000000"/>
                <w:sz w:val="20"/>
                <w:szCs w:val="20"/>
              </w:rPr>
              <w:t>Secondary Instructor</w:t>
            </w:r>
          </w:p>
        </w:tc>
        <w:tc>
          <w:tcPr>
            <w:tcW w:w="24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Secondary Instructor</w:t>
            </w:r>
          </w:p>
        </w:tc>
        <w:tc>
          <w:tcPr>
            <w:tcW w:w="4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 xml:space="preserve">Same permissions as instructor. </w:t>
            </w:r>
            <w:r w:rsidRPr="00C02ACE"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  <w:t>Cannot</w:t>
            </w:r>
            <w:r w:rsidRPr="007F2911">
              <w:rPr>
                <w:rFonts w:eastAsia="Calibri"/>
                <w:color w:val="000000"/>
                <w:sz w:val="20"/>
                <w:szCs w:val="20"/>
              </w:rPr>
              <w:t xml:space="preserve"> be evaluated by EAC.</w:t>
            </w:r>
          </w:p>
        </w:tc>
      </w:tr>
      <w:tr w:rsidR="00A323A4" w:rsidRPr="00A323A4" w:rsidTr="00C02ACE">
        <w:trPr>
          <w:trHeight w:val="462"/>
        </w:trPr>
        <w:tc>
          <w:tcPr>
            <w:tcW w:w="2514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A323A4" w:rsidRPr="007F2911" w:rsidRDefault="00A323A4" w:rsidP="00A323A4">
            <w:pPr>
              <w:spacing w:after="16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b/>
                <w:color w:val="000000"/>
                <w:sz w:val="20"/>
                <w:szCs w:val="20"/>
              </w:rPr>
              <w:t>Teaching Assistant</w:t>
            </w:r>
          </w:p>
        </w:tc>
        <w:tc>
          <w:tcPr>
            <w:tcW w:w="2446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A323A4" w:rsidRPr="007F2911" w:rsidRDefault="00A323A4" w:rsidP="00A323A4">
            <w:pPr>
              <w:spacing w:after="16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Teaching Assistant</w:t>
            </w:r>
          </w:p>
        </w:tc>
        <w:tc>
          <w:tcPr>
            <w:tcW w:w="4907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A323A4" w:rsidRPr="007F2911" w:rsidRDefault="00A323A4" w:rsidP="00A323A4">
            <w:pPr>
              <w:spacing w:after="2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Can grade content. Can communicate with Students.</w:t>
            </w:r>
            <w:r w:rsidRPr="007F2911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C02ACE"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  <w:t>Cannot</w:t>
            </w:r>
            <w:r w:rsidRPr="007F2911">
              <w:rPr>
                <w:rFonts w:eastAsia="Calibri"/>
                <w:color w:val="000000"/>
                <w:sz w:val="20"/>
                <w:szCs w:val="20"/>
              </w:rPr>
              <w:t xml:space="preserve"> build course, add content, open assignments, etc.</w:t>
            </w:r>
          </w:p>
        </w:tc>
      </w:tr>
      <w:tr w:rsidR="00A323A4" w:rsidRPr="00A323A4" w:rsidTr="00C02ACE">
        <w:trPr>
          <w:trHeight w:val="462"/>
        </w:trPr>
        <w:tc>
          <w:tcPr>
            <w:tcW w:w="2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b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24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Course Builder</w:t>
            </w:r>
          </w:p>
        </w:tc>
        <w:tc>
          <w:tcPr>
            <w:tcW w:w="4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Can only build the course content. Cannot see or alter Grades.</w:t>
            </w:r>
          </w:p>
        </w:tc>
      </w:tr>
      <w:tr w:rsidR="00A323A4" w:rsidRPr="00A323A4" w:rsidTr="00C02ACE">
        <w:trPr>
          <w:trHeight w:val="462"/>
        </w:trPr>
        <w:tc>
          <w:tcPr>
            <w:tcW w:w="2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b/>
                <w:color w:val="000000"/>
                <w:sz w:val="20"/>
                <w:szCs w:val="20"/>
              </w:rPr>
              <w:t>Grader</w:t>
            </w:r>
          </w:p>
        </w:tc>
        <w:tc>
          <w:tcPr>
            <w:tcW w:w="24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Grader</w:t>
            </w:r>
          </w:p>
        </w:tc>
        <w:tc>
          <w:tcPr>
            <w:tcW w:w="4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323A4" w:rsidRPr="007F2911" w:rsidRDefault="00A323A4" w:rsidP="00A323A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F2911">
              <w:rPr>
                <w:rFonts w:eastAsia="Calibri"/>
                <w:color w:val="000000"/>
                <w:sz w:val="20"/>
                <w:szCs w:val="20"/>
              </w:rPr>
              <w:t>Can only grade. Cannot communicate with students</w:t>
            </w:r>
          </w:p>
        </w:tc>
      </w:tr>
    </w:tbl>
    <w:p w:rsidR="0097358E" w:rsidRDefault="0097358E"/>
    <w:p w:rsidR="00A323A4" w:rsidRPr="00C02ACE" w:rsidRDefault="00A323A4" w:rsidP="00972BB6">
      <w:pPr>
        <w:pStyle w:val="ListParagraph"/>
        <w:numPr>
          <w:ilvl w:val="0"/>
          <w:numId w:val="1"/>
        </w:numPr>
        <w:rPr>
          <w:u w:val="single"/>
        </w:rPr>
      </w:pPr>
      <w:r w:rsidRPr="00C02ACE">
        <w:rPr>
          <w:u w:val="single"/>
        </w:rPr>
        <w:t>Grader/Approver Roles</w:t>
      </w:r>
    </w:p>
    <w:tbl>
      <w:tblPr>
        <w:tblStyle w:val="TableGrid0"/>
        <w:tblpPr w:leftFromText="180" w:rightFromText="180" w:vertAnchor="text" w:horzAnchor="margin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6807"/>
      </w:tblGrid>
      <w:tr w:rsidR="001B15E1" w:rsidRPr="00A323A4" w:rsidTr="00C02ACE">
        <w:trPr>
          <w:trHeight w:val="4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5E1" w:rsidRPr="007F2911" w:rsidRDefault="001B15E1" w:rsidP="001B15E1">
            <w:pPr>
              <w:rPr>
                <w:rFonts w:eastAsiaTheme="minorHAnsi"/>
                <w:b/>
                <w:sz w:val="20"/>
                <w:szCs w:val="20"/>
              </w:rPr>
            </w:pPr>
            <w:r w:rsidRPr="007F2911">
              <w:rPr>
                <w:rFonts w:eastAsiaTheme="minorHAnsi"/>
                <w:b/>
                <w:sz w:val="20"/>
                <w:szCs w:val="20"/>
              </w:rPr>
              <w:t>Grader</w:t>
            </w:r>
          </w:p>
        </w:tc>
        <w:tc>
          <w:tcPr>
            <w:tcW w:w="6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5E1" w:rsidRPr="007F2911" w:rsidRDefault="001B15E1" w:rsidP="001B15E1">
            <w:pPr>
              <w:rPr>
                <w:rFonts w:eastAsiaTheme="minorHAnsi"/>
                <w:sz w:val="20"/>
                <w:szCs w:val="20"/>
              </w:rPr>
            </w:pPr>
            <w:r w:rsidRPr="007F2911">
              <w:rPr>
                <w:rFonts w:eastAsiaTheme="minorHAnsi"/>
                <w:sz w:val="20"/>
                <w:szCs w:val="20"/>
              </w:rPr>
              <w:t xml:space="preserve">Can enter grades in GUS and Blackboard. </w:t>
            </w:r>
            <w:r w:rsidRPr="00C02ACE">
              <w:rPr>
                <w:rFonts w:eastAsiaTheme="minorHAnsi"/>
                <w:b/>
                <w:sz w:val="20"/>
                <w:szCs w:val="20"/>
                <w:u w:val="single"/>
              </w:rPr>
              <w:t>Cannot</w:t>
            </w:r>
            <w:r w:rsidRPr="007F2911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7F2911">
              <w:rPr>
                <w:rFonts w:eastAsiaTheme="minorHAnsi"/>
                <w:sz w:val="20"/>
                <w:szCs w:val="20"/>
              </w:rPr>
              <w:t>approve grades for posting by OUR.</w:t>
            </w:r>
          </w:p>
        </w:tc>
      </w:tr>
      <w:tr w:rsidR="001B15E1" w:rsidRPr="00A323A4" w:rsidTr="00C02ACE">
        <w:trPr>
          <w:trHeight w:val="4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5E1" w:rsidRPr="007F2911" w:rsidRDefault="001B15E1" w:rsidP="001B15E1">
            <w:pPr>
              <w:rPr>
                <w:rFonts w:eastAsiaTheme="minorHAnsi"/>
                <w:b/>
                <w:sz w:val="20"/>
                <w:szCs w:val="20"/>
              </w:rPr>
            </w:pPr>
            <w:r w:rsidRPr="007F2911">
              <w:rPr>
                <w:rFonts w:eastAsiaTheme="minorHAnsi"/>
                <w:b/>
                <w:sz w:val="20"/>
                <w:szCs w:val="20"/>
              </w:rPr>
              <w:t>Approver</w:t>
            </w:r>
          </w:p>
        </w:tc>
        <w:tc>
          <w:tcPr>
            <w:tcW w:w="6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5E1" w:rsidRPr="007F2911" w:rsidRDefault="001B15E1" w:rsidP="001B15E1">
            <w:pPr>
              <w:rPr>
                <w:rFonts w:eastAsiaTheme="minorHAnsi"/>
                <w:sz w:val="20"/>
                <w:szCs w:val="20"/>
              </w:rPr>
            </w:pPr>
            <w:r w:rsidRPr="007F2911">
              <w:rPr>
                <w:rFonts w:eastAsiaTheme="minorHAnsi"/>
                <w:sz w:val="20"/>
                <w:szCs w:val="20"/>
              </w:rPr>
              <w:t>Can enter grades in GUS and Blackboard. Can also approve grades for posting by OUR.</w:t>
            </w:r>
          </w:p>
        </w:tc>
      </w:tr>
    </w:tbl>
    <w:p w:rsidR="001A0334" w:rsidRDefault="001A0334"/>
    <w:sectPr w:rsidR="001A0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02" w:rsidRDefault="00E91E02" w:rsidP="00BD0877">
      <w:r>
        <w:separator/>
      </w:r>
    </w:p>
  </w:endnote>
  <w:endnote w:type="continuationSeparator" w:id="0">
    <w:p w:rsidR="00E91E02" w:rsidRDefault="00E91E02" w:rsidP="00BD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6E" w:rsidRDefault="00BB2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77" w:rsidRPr="00BB2B6E" w:rsidRDefault="00BD0877" w:rsidP="00BB2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6E" w:rsidRDefault="00BB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02" w:rsidRDefault="00E91E02" w:rsidP="00BD0877">
      <w:r>
        <w:separator/>
      </w:r>
    </w:p>
  </w:footnote>
  <w:footnote w:type="continuationSeparator" w:id="0">
    <w:p w:rsidR="00E91E02" w:rsidRDefault="00E91E02" w:rsidP="00BD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6E" w:rsidRDefault="00BB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6E" w:rsidRDefault="00BB2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6E" w:rsidRDefault="00BB2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73A"/>
    <w:multiLevelType w:val="hybridMultilevel"/>
    <w:tmpl w:val="1312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4653"/>
    <w:multiLevelType w:val="hybridMultilevel"/>
    <w:tmpl w:val="6DA4A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091"/>
    <w:multiLevelType w:val="hybridMultilevel"/>
    <w:tmpl w:val="CA04ABD8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8572A13"/>
    <w:multiLevelType w:val="hybridMultilevel"/>
    <w:tmpl w:val="C4464F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C45C4"/>
    <w:multiLevelType w:val="hybridMultilevel"/>
    <w:tmpl w:val="8948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4923"/>
    <w:multiLevelType w:val="hybridMultilevel"/>
    <w:tmpl w:val="0D2A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9"/>
    <w:rsid w:val="000421D9"/>
    <w:rsid w:val="00062E91"/>
    <w:rsid w:val="000A0317"/>
    <w:rsid w:val="0013543C"/>
    <w:rsid w:val="001661EB"/>
    <w:rsid w:val="001A0334"/>
    <w:rsid w:val="001B15E1"/>
    <w:rsid w:val="001B71CD"/>
    <w:rsid w:val="0029688D"/>
    <w:rsid w:val="00297761"/>
    <w:rsid w:val="002E7434"/>
    <w:rsid w:val="002F2F04"/>
    <w:rsid w:val="003552C3"/>
    <w:rsid w:val="00432F6D"/>
    <w:rsid w:val="004C002F"/>
    <w:rsid w:val="004D0E16"/>
    <w:rsid w:val="004E0345"/>
    <w:rsid w:val="00515459"/>
    <w:rsid w:val="00575A8B"/>
    <w:rsid w:val="006811B2"/>
    <w:rsid w:val="0069192E"/>
    <w:rsid w:val="00691B70"/>
    <w:rsid w:val="00736446"/>
    <w:rsid w:val="007F2911"/>
    <w:rsid w:val="00826AE8"/>
    <w:rsid w:val="008520A8"/>
    <w:rsid w:val="008E50FE"/>
    <w:rsid w:val="008F5690"/>
    <w:rsid w:val="009020EF"/>
    <w:rsid w:val="0097358E"/>
    <w:rsid w:val="00A14C69"/>
    <w:rsid w:val="00A2587C"/>
    <w:rsid w:val="00A317C9"/>
    <w:rsid w:val="00A323A4"/>
    <w:rsid w:val="00B84487"/>
    <w:rsid w:val="00BB2B6E"/>
    <w:rsid w:val="00BB66A8"/>
    <w:rsid w:val="00BD0877"/>
    <w:rsid w:val="00C02ACE"/>
    <w:rsid w:val="00C613A9"/>
    <w:rsid w:val="00CB3573"/>
    <w:rsid w:val="00D12FA1"/>
    <w:rsid w:val="00D20DF2"/>
    <w:rsid w:val="00D60E80"/>
    <w:rsid w:val="00DD555D"/>
    <w:rsid w:val="00DF7A37"/>
    <w:rsid w:val="00E91E02"/>
    <w:rsid w:val="00EB2361"/>
    <w:rsid w:val="00ED1AED"/>
    <w:rsid w:val="00EE79E5"/>
    <w:rsid w:val="00F90820"/>
    <w:rsid w:val="00FB4E5D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5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EF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A323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3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7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2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ams.edu/for-faculty-staff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gistrar@uams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tp://www.arkleg.state.ar.us/acts/2007/public/Act17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2020-09-11T16:55:00Z</dcterms:created>
  <dcterms:modified xsi:type="dcterms:W3CDTF">2020-09-11T16:55:00Z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